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811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704FE8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5A476A6" w14:textId="77777777" w:rsidR="00CD36CF" w:rsidRDefault="008C0D48" w:rsidP="00CC1F3B">
      <w:pPr>
        <w:pStyle w:val="TitlePageBillPrefix"/>
      </w:pPr>
      <w:sdt>
        <w:sdtPr>
          <w:tag w:val="IntroDate"/>
          <w:id w:val="-1236936958"/>
          <w:placeholder>
            <w:docPart w:val="ED688765F9324648ACF0E07BF3167FE0"/>
          </w:placeholder>
          <w:text/>
        </w:sdtPr>
        <w:sdtEndPr/>
        <w:sdtContent>
          <w:r w:rsidR="00AE48A0">
            <w:t>Introduced</w:t>
          </w:r>
        </w:sdtContent>
      </w:sdt>
    </w:p>
    <w:p w14:paraId="7168ABB3" w14:textId="5EB79230" w:rsidR="00CD36CF" w:rsidRDefault="008C0D4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8DA64AACB2C4FDF829517F732F0E12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232C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589CF3E1E764D7AB281C450C176F067"/>
          </w:placeholder>
          <w:text/>
        </w:sdtPr>
        <w:sdtEndPr/>
        <w:sdtContent>
          <w:r w:rsidR="002B2393">
            <w:t>1008</w:t>
          </w:r>
        </w:sdtContent>
      </w:sdt>
    </w:p>
    <w:p w14:paraId="578FD35C" w14:textId="61A6421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95802CEC6C74197A3695DE4D3385DAB"/>
          </w:placeholder>
          <w:text w:multiLine="1"/>
        </w:sdtPr>
        <w:sdtEndPr/>
        <w:sdtContent>
          <w:r w:rsidR="001232C8">
            <w:t>Senator</w:t>
          </w:r>
          <w:r w:rsidR="007A3AED">
            <w:t>s</w:t>
          </w:r>
          <w:r w:rsidR="001232C8">
            <w:t xml:space="preserve"> Helton</w:t>
          </w:r>
          <w:r w:rsidR="00B86A03">
            <w:t xml:space="preserve">, </w:t>
          </w:r>
          <w:r w:rsidR="007A3AED">
            <w:t>Rose</w:t>
          </w:r>
        </w:sdtContent>
      </w:sdt>
      <w:r w:rsidR="00B86A03">
        <w:t>, and Tarr</w:t>
      </w:r>
    </w:p>
    <w:p w14:paraId="58066D5A" w14:textId="69DD4991" w:rsidR="00EE3F9A" w:rsidRDefault="007D533C" w:rsidP="00395C48">
      <w:pPr>
        <w:pStyle w:val="References"/>
      </w:pPr>
      <w:r>
        <w:t>[Introduced</w:t>
      </w:r>
      <w:r w:rsidR="002B2393">
        <w:t xml:space="preserve"> February 19, 2026</w:t>
      </w:r>
      <w:r>
        <w:t xml:space="preserve">; referred </w:t>
      </w:r>
    </w:p>
    <w:p w14:paraId="474D766F" w14:textId="77777777" w:rsidR="00466687" w:rsidRDefault="007D533C" w:rsidP="00395C48">
      <w:pPr>
        <w:pStyle w:val="References"/>
        <w:sectPr w:rsidR="00466687" w:rsidSect="00395C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to the Committee on </w:t>
      </w:r>
      <w:r w:rsidR="002C3C1B">
        <w:t>the Judiciary</w:t>
      </w:r>
      <w:r>
        <w:t>]</w:t>
      </w:r>
    </w:p>
    <w:p w14:paraId="19425CDA" w14:textId="72E0010E" w:rsidR="00395C48" w:rsidRPr="00C73E09" w:rsidRDefault="00395C48" w:rsidP="00395C48">
      <w:pPr>
        <w:pStyle w:val="References"/>
      </w:pPr>
    </w:p>
    <w:p w14:paraId="4364C11E" w14:textId="2C4BF014" w:rsidR="00303684" w:rsidRDefault="00395C48" w:rsidP="00466687">
      <w:pPr>
        <w:pStyle w:val="TitleSection"/>
      </w:pPr>
      <w:r w:rsidRPr="00465CB6">
        <w:rPr>
          <w:color w:val="auto"/>
        </w:rPr>
        <w:lastRenderedPageBreak/>
        <w:t>A BILL to amend and reenact §55-7G-9 of the Code of West Virginia, 1931, as amended, relating to the statute of limitations for asbestos and silica litigation; and clarifying when a cause of action may be brought.</w:t>
      </w:r>
    </w:p>
    <w:p w14:paraId="0B51651B" w14:textId="77777777" w:rsidR="00303684" w:rsidRDefault="00303684" w:rsidP="00466687">
      <w:pPr>
        <w:pStyle w:val="EnactingClause"/>
      </w:pPr>
      <w:r>
        <w:t>Be it enacted by the Legislature of West Virginia:</w:t>
      </w:r>
    </w:p>
    <w:p w14:paraId="4CA0820B" w14:textId="77777777" w:rsidR="003C6034" w:rsidRDefault="003C6034" w:rsidP="00466687">
      <w:pPr>
        <w:pStyle w:val="EnactingClause"/>
        <w:sectPr w:rsidR="003C6034" w:rsidSect="00466687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0A519D" w14:textId="77777777" w:rsidR="00395C48" w:rsidRDefault="00395C48" w:rsidP="00466687">
      <w:pPr>
        <w:pStyle w:val="ArticleHeading"/>
        <w:widowControl/>
        <w:sectPr w:rsidR="00395C48" w:rsidSect="00395C4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7G. ASBESTOS AND SILICA CLAIMS PRIORITIES ACT.</w:t>
      </w:r>
    </w:p>
    <w:p w14:paraId="1BFE1A9E" w14:textId="77777777" w:rsidR="00395C48" w:rsidRDefault="00395C48" w:rsidP="00466687">
      <w:pPr>
        <w:pStyle w:val="SectionHeading"/>
        <w:widowControl/>
      </w:pPr>
      <w:r>
        <w:t>§55-7G-9. Statute of limitations; two-disease rule.</w:t>
      </w:r>
    </w:p>
    <w:p w14:paraId="7E4FE6F4" w14:textId="29F51343" w:rsidR="00395C48" w:rsidRDefault="00395C48" w:rsidP="00466687">
      <w:pPr>
        <w:pStyle w:val="SectionBody"/>
        <w:widowControl/>
      </w:pPr>
      <w:r>
        <w:t xml:space="preserve">(a) With respect to an asbestos or silica action not barred by limitations as of this article's effective date, an exposed person's cause of action </w:t>
      </w:r>
      <w:r w:rsidRPr="00335A01">
        <w:t>shall</w:t>
      </w:r>
      <w:r>
        <w:t xml:space="preserve"> not accrue, nor </w:t>
      </w:r>
      <w:r w:rsidRPr="00335A01">
        <w:t>shal</w:t>
      </w:r>
      <w:r w:rsidRPr="00C94BBC">
        <w:t>l</w:t>
      </w:r>
      <w:r>
        <w:t xml:space="preserve"> the running of limitations commence, prior to the earlier of the date:</w:t>
      </w:r>
    </w:p>
    <w:p w14:paraId="5A5C0A63" w14:textId="77777777" w:rsidR="00395C48" w:rsidRDefault="00395C48" w:rsidP="00466687">
      <w:pPr>
        <w:pStyle w:val="SectionBody"/>
        <w:widowControl/>
      </w:pPr>
      <w:r>
        <w:t xml:space="preserve">(1) The exposed person received a medical diagnosis of </w:t>
      </w:r>
      <w:proofErr w:type="gramStart"/>
      <w:r>
        <w:t>an asbestos</w:t>
      </w:r>
      <w:proofErr w:type="gramEnd"/>
      <w:r>
        <w:t xml:space="preserve">-related impairment or silica-related </w:t>
      </w:r>
      <w:proofErr w:type="gramStart"/>
      <w:r>
        <w:t>impairment;</w:t>
      </w:r>
      <w:proofErr w:type="gramEnd"/>
    </w:p>
    <w:p w14:paraId="18075999" w14:textId="77777777" w:rsidR="00395C48" w:rsidRDefault="00395C48" w:rsidP="00466687">
      <w:pPr>
        <w:pStyle w:val="SectionBody"/>
        <w:widowControl/>
      </w:pPr>
      <w:r>
        <w:t>(2) The exposed person discovered facts that would have led a reasonable person to obtain a medical diagnosis with respect to the existence of an asbestos-related impairment or silica-related impairment; or</w:t>
      </w:r>
    </w:p>
    <w:p w14:paraId="6D05100E" w14:textId="77777777" w:rsidR="00395C48" w:rsidRDefault="00395C48" w:rsidP="00466687">
      <w:pPr>
        <w:pStyle w:val="SectionBody"/>
        <w:widowControl/>
      </w:pPr>
      <w:r>
        <w:t>(3) The date of death of the exposed person having an asbestos-related or silica-related impairment.</w:t>
      </w:r>
    </w:p>
    <w:p w14:paraId="7645E23E" w14:textId="6136837E" w:rsidR="00395C48" w:rsidRDefault="00395C48" w:rsidP="00466687">
      <w:pPr>
        <w:pStyle w:val="SectionBody"/>
        <w:widowControl/>
      </w:pPr>
      <w:proofErr w:type="gramStart"/>
      <w:r>
        <w:t>(b) Nothing</w:t>
      </w:r>
      <w:proofErr w:type="gramEnd"/>
      <w:r>
        <w:t xml:space="preserve"> in this section </w:t>
      </w:r>
      <w:r w:rsidRPr="00335A01">
        <w:t>shall</w:t>
      </w:r>
      <w:r w:rsidR="00E92E48">
        <w:t xml:space="preserve"> </w:t>
      </w:r>
      <w:r>
        <w:t>be construed to revive or extend limitations with respect to any claim for asbestos-related impairment or silica-related impairment that was otherwise time-barred on the effective date of this article.</w:t>
      </w:r>
    </w:p>
    <w:p w14:paraId="720559C9" w14:textId="5C13C120" w:rsidR="00395C48" w:rsidRDefault="00395C48" w:rsidP="00466687">
      <w:pPr>
        <w:pStyle w:val="SectionBody"/>
        <w:widowControl/>
      </w:pPr>
      <w:r>
        <w:t xml:space="preserve">(c) Nothing in this section </w:t>
      </w:r>
      <w:r w:rsidR="00E92E48" w:rsidRPr="00335A01">
        <w:t>shall</w:t>
      </w:r>
      <w:r w:rsidR="00E92E48">
        <w:t xml:space="preserve"> </w:t>
      </w:r>
      <w:r>
        <w:t xml:space="preserve">be construed </w:t>
      </w:r>
      <w:proofErr w:type="gramStart"/>
      <w:r>
        <w:t>so as to</w:t>
      </w:r>
      <w:proofErr w:type="gramEnd"/>
      <w:r>
        <w:t xml:space="preserve"> adversely affect, impair, limit, modify, or nullify any settlement or other agreements with respect to an asbestos or silica action </w:t>
      </w:r>
      <w:proofErr w:type="gramStart"/>
      <w:r>
        <w:t>entered into</w:t>
      </w:r>
      <w:proofErr w:type="gramEnd"/>
      <w:r>
        <w:t xml:space="preserve"> prior to the effective date of this article.</w:t>
      </w:r>
    </w:p>
    <w:p w14:paraId="1D0AD0A3" w14:textId="7264A337" w:rsidR="00395C48" w:rsidRDefault="00395C48" w:rsidP="00466687">
      <w:pPr>
        <w:pStyle w:val="SectionBody"/>
        <w:widowControl/>
      </w:pPr>
      <w:r>
        <w:t xml:space="preserve">(d) An asbestos or silica action arising out of a nonmalignant condition shall be a distinct cause of action from an action for an asbestos-related or silica-related cancer. Where otherwise permitted under state law, no damages </w:t>
      </w:r>
      <w:r w:rsidR="00E92E48" w:rsidRPr="00335A01">
        <w:t>shall</w:t>
      </w:r>
      <w:r w:rsidR="00E92E48">
        <w:t xml:space="preserve"> </w:t>
      </w:r>
      <w:r>
        <w:t>be awarded for fear or increased risk of future disease in an asbestos or silica action.</w:t>
      </w:r>
    </w:p>
    <w:p w14:paraId="1A7906AB" w14:textId="50170A5F" w:rsidR="00395C48" w:rsidRDefault="00395C48" w:rsidP="00466687">
      <w:pPr>
        <w:pStyle w:val="SectionBody"/>
        <w:widowControl/>
      </w:pPr>
      <w:r w:rsidRPr="00465CB6">
        <w:rPr>
          <w:rFonts w:cs="Arial"/>
          <w:color w:val="auto"/>
          <w:u w:val="single"/>
        </w:rPr>
        <w:lastRenderedPageBreak/>
        <w:t xml:space="preserve">(e) Notwithstanding the provisions of this section, a plaintiff in an asbestos or silica action may not bring an action against the manufacturers of </w:t>
      </w:r>
      <w:r>
        <w:rPr>
          <w:rFonts w:cs="Arial"/>
          <w:color w:val="auto"/>
          <w:u w:val="single"/>
        </w:rPr>
        <w:t xml:space="preserve">mining </w:t>
      </w:r>
      <w:r w:rsidRPr="00465CB6">
        <w:rPr>
          <w:rFonts w:cs="Arial"/>
          <w:color w:val="auto"/>
          <w:u w:val="single"/>
        </w:rPr>
        <w:t xml:space="preserve">equipment </w:t>
      </w:r>
      <w:r>
        <w:rPr>
          <w:rFonts w:cs="Arial"/>
          <w:color w:val="auto"/>
          <w:u w:val="single"/>
        </w:rPr>
        <w:t xml:space="preserve">used underground when the exclusive use of asbestos in the equipment was as a result of specific requirements under 30 CFR Part 18 </w:t>
      </w:r>
      <w:r w:rsidRPr="00843931">
        <w:rPr>
          <w:rFonts w:cs="Arial"/>
          <w:color w:val="auto"/>
          <w:u w:val="single"/>
        </w:rPr>
        <w:t xml:space="preserve">or, as to </w:t>
      </w:r>
      <w:r w:rsidR="003F6DFB">
        <w:rPr>
          <w:rFonts w:cs="Arial"/>
          <w:color w:val="auto"/>
          <w:u w:val="single"/>
        </w:rPr>
        <w:t xml:space="preserve">the use of </w:t>
      </w:r>
      <w:r w:rsidRPr="00843931">
        <w:rPr>
          <w:rFonts w:cs="Arial"/>
          <w:color w:val="auto"/>
          <w:u w:val="single"/>
        </w:rPr>
        <w:t>silica, the design was as specified in 30 CFR Part 33</w:t>
      </w:r>
      <w:r>
        <w:rPr>
          <w:rFonts w:cs="Arial"/>
          <w:color w:val="auto"/>
          <w:u w:val="single"/>
        </w:rPr>
        <w:t xml:space="preserve"> </w:t>
      </w:r>
      <w:r w:rsidRPr="00465CB6">
        <w:rPr>
          <w:rFonts w:cs="Arial"/>
          <w:color w:val="auto"/>
          <w:u w:val="single"/>
        </w:rPr>
        <w:t>when the equipment was originally manufactured</w:t>
      </w:r>
      <w:r w:rsidRPr="007D533C">
        <w:rPr>
          <w:rFonts w:cs="Arial"/>
          <w:color w:val="212121"/>
          <w:u w:val="single"/>
        </w:rPr>
        <w:t xml:space="preserve">, based on any theory or doctrine, except </w:t>
      </w:r>
      <w:r w:rsidRPr="00465CB6">
        <w:rPr>
          <w:rFonts w:cs="Arial"/>
          <w:color w:val="auto"/>
          <w:u w:val="single"/>
        </w:rPr>
        <w:t>within the applicable limitations period and, in any event, within 12 years from the date of first sale, lease</w:t>
      </w:r>
      <w:r w:rsidR="00B86A03">
        <w:rPr>
          <w:rFonts w:cs="Arial"/>
          <w:color w:val="auto"/>
          <w:u w:val="single"/>
        </w:rPr>
        <w:t>,</w:t>
      </w:r>
      <w:r w:rsidRPr="00465CB6">
        <w:rPr>
          <w:rFonts w:cs="Arial"/>
          <w:color w:val="auto"/>
          <w:u w:val="single"/>
        </w:rPr>
        <w:t xml:space="preserve"> or delivery of possession by the manufacturers or 10 years from the date of first sale, lease</w:t>
      </w:r>
      <w:r w:rsidR="00B86A03">
        <w:rPr>
          <w:rFonts w:cs="Arial"/>
          <w:color w:val="auto"/>
          <w:u w:val="single"/>
        </w:rPr>
        <w:t>,</w:t>
      </w:r>
      <w:r w:rsidRPr="00465CB6">
        <w:rPr>
          <w:rFonts w:cs="Arial"/>
          <w:color w:val="auto"/>
          <w:u w:val="single"/>
        </w:rPr>
        <w:t xml:space="preserve"> or delivery of possession to its initial user, consumer, or other non-seller, whichever period expires earlier</w:t>
      </w:r>
      <w:r>
        <w:rPr>
          <w:rFonts w:cs="Arial"/>
          <w:color w:val="auto"/>
          <w:u w:val="single"/>
        </w:rPr>
        <w:t>, u</w:t>
      </w:r>
      <w:r w:rsidRPr="00465CB6">
        <w:rPr>
          <w:rFonts w:cs="Arial"/>
          <w:color w:val="auto"/>
          <w:u w:val="single"/>
        </w:rPr>
        <w:t>nless the manufacturers of equipment used in coal mining have expressly warranted or promised the product for a longer period and the action is brought within that period.</w:t>
      </w:r>
      <w:r>
        <w:rPr>
          <w:rFonts w:cs="Arial"/>
          <w:color w:val="auto"/>
          <w:u w:val="single"/>
        </w:rPr>
        <w:t xml:space="preserve">  This section does not apply to the use of brakes and any brake material.</w:t>
      </w:r>
    </w:p>
    <w:p w14:paraId="3D59A347" w14:textId="77777777" w:rsidR="00C33014" w:rsidRDefault="00C33014" w:rsidP="00466687">
      <w:pPr>
        <w:pStyle w:val="Note"/>
        <w:widowControl/>
      </w:pPr>
    </w:p>
    <w:p w14:paraId="32D9B515" w14:textId="00F70266" w:rsidR="006865E9" w:rsidRDefault="00CF1DCA" w:rsidP="00466687">
      <w:pPr>
        <w:pStyle w:val="Note"/>
        <w:widowControl/>
      </w:pPr>
      <w:r>
        <w:t>NOTE: The</w:t>
      </w:r>
      <w:r w:rsidR="006865E9">
        <w:t xml:space="preserve"> purpose of this bill is to </w:t>
      </w:r>
      <w:r w:rsidR="00395C48" w:rsidRPr="00465CB6">
        <w:rPr>
          <w:rFonts w:cs="Arial"/>
          <w:color w:val="auto"/>
          <w:szCs w:val="20"/>
        </w:rPr>
        <w:t>amend the procedures for the handling of asbestos and silica litigation and to enhance the ability of the judicial system to manage such litigation.</w:t>
      </w:r>
    </w:p>
    <w:p w14:paraId="6504BBBF" w14:textId="77777777" w:rsidR="006865E9" w:rsidRPr="00303684" w:rsidRDefault="00AE48A0" w:rsidP="00466687">
      <w:pPr>
        <w:pStyle w:val="Note"/>
        <w:widowControl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95C4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073A" w14:textId="77777777" w:rsidR="001232C8" w:rsidRPr="00B844FE" w:rsidRDefault="001232C8" w:rsidP="00B844FE">
      <w:r>
        <w:separator/>
      </w:r>
    </w:p>
  </w:endnote>
  <w:endnote w:type="continuationSeparator" w:id="0">
    <w:p w14:paraId="603DA311" w14:textId="77777777" w:rsidR="001232C8" w:rsidRPr="00B844FE" w:rsidRDefault="001232C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597F2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13E7B5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4B33C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33FA" w14:textId="77777777" w:rsidR="001232C8" w:rsidRPr="00B844FE" w:rsidRDefault="001232C8" w:rsidP="00B844FE">
      <w:r>
        <w:separator/>
      </w:r>
    </w:p>
  </w:footnote>
  <w:footnote w:type="continuationSeparator" w:id="0">
    <w:p w14:paraId="6C10C408" w14:textId="77777777" w:rsidR="001232C8" w:rsidRPr="00B844FE" w:rsidRDefault="001232C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82AA" w14:textId="77777777" w:rsidR="002A0269" w:rsidRPr="00B844FE" w:rsidRDefault="008C0D48">
    <w:pPr>
      <w:pStyle w:val="Header"/>
    </w:pPr>
    <w:sdt>
      <w:sdtPr>
        <w:id w:val="-684364211"/>
        <w:placeholder>
          <w:docPart w:val="D8DA64AACB2C4FDF829517F732F0E1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8DA64AACB2C4FDF829517F732F0E12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B80E" w14:textId="5863E85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1232C8">
      <w:rPr>
        <w:sz w:val="22"/>
        <w:szCs w:val="22"/>
      </w:rPr>
      <w:t>SB</w:t>
    </w:r>
    <w:r w:rsidR="002B2393">
      <w:rPr>
        <w:sz w:val="22"/>
        <w:szCs w:val="22"/>
      </w:rPr>
      <w:t xml:space="preserve"> 1008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B86A03">
          <w:rPr>
            <w:sz w:val="22"/>
            <w:szCs w:val="22"/>
          </w:rPr>
          <w:t xml:space="preserve">     </w:t>
        </w:r>
      </w:sdtContent>
    </w:sdt>
  </w:p>
  <w:p w14:paraId="3207ADC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32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8"/>
    <w:rsid w:val="0000526A"/>
    <w:rsid w:val="000573A9"/>
    <w:rsid w:val="00085D22"/>
    <w:rsid w:val="00093AB0"/>
    <w:rsid w:val="000C5C77"/>
    <w:rsid w:val="000E3912"/>
    <w:rsid w:val="0010070F"/>
    <w:rsid w:val="001232C8"/>
    <w:rsid w:val="0015112E"/>
    <w:rsid w:val="001552E7"/>
    <w:rsid w:val="001566B4"/>
    <w:rsid w:val="001661ED"/>
    <w:rsid w:val="001A66B7"/>
    <w:rsid w:val="001C279E"/>
    <w:rsid w:val="001D459E"/>
    <w:rsid w:val="0020151F"/>
    <w:rsid w:val="00211F02"/>
    <w:rsid w:val="0022348D"/>
    <w:rsid w:val="00233C15"/>
    <w:rsid w:val="0027011C"/>
    <w:rsid w:val="00274200"/>
    <w:rsid w:val="00275740"/>
    <w:rsid w:val="002A0269"/>
    <w:rsid w:val="002B2393"/>
    <w:rsid w:val="002C3C1B"/>
    <w:rsid w:val="00303684"/>
    <w:rsid w:val="003143F5"/>
    <w:rsid w:val="00314854"/>
    <w:rsid w:val="00331B46"/>
    <w:rsid w:val="00335A01"/>
    <w:rsid w:val="00360E9E"/>
    <w:rsid w:val="00394191"/>
    <w:rsid w:val="00395C48"/>
    <w:rsid w:val="003C51CD"/>
    <w:rsid w:val="003C6034"/>
    <w:rsid w:val="003F6DFB"/>
    <w:rsid w:val="00400B5C"/>
    <w:rsid w:val="004368E0"/>
    <w:rsid w:val="00466687"/>
    <w:rsid w:val="0048302B"/>
    <w:rsid w:val="004956C1"/>
    <w:rsid w:val="004A49AD"/>
    <w:rsid w:val="004B2641"/>
    <w:rsid w:val="004C13DD"/>
    <w:rsid w:val="004D3ABE"/>
    <w:rsid w:val="004E3441"/>
    <w:rsid w:val="00500579"/>
    <w:rsid w:val="00572702"/>
    <w:rsid w:val="005A5366"/>
    <w:rsid w:val="006369EB"/>
    <w:rsid w:val="00637E73"/>
    <w:rsid w:val="00683D21"/>
    <w:rsid w:val="006865E9"/>
    <w:rsid w:val="00686E9A"/>
    <w:rsid w:val="00691F3E"/>
    <w:rsid w:val="00694BFB"/>
    <w:rsid w:val="006A106B"/>
    <w:rsid w:val="006C523D"/>
    <w:rsid w:val="006D4036"/>
    <w:rsid w:val="00766AD0"/>
    <w:rsid w:val="007A3AED"/>
    <w:rsid w:val="007A5259"/>
    <w:rsid w:val="007A7081"/>
    <w:rsid w:val="007C3A0B"/>
    <w:rsid w:val="007D533C"/>
    <w:rsid w:val="007F1CF5"/>
    <w:rsid w:val="00834EDE"/>
    <w:rsid w:val="008736AA"/>
    <w:rsid w:val="0089634F"/>
    <w:rsid w:val="008C0D48"/>
    <w:rsid w:val="008D275D"/>
    <w:rsid w:val="00946186"/>
    <w:rsid w:val="00980327"/>
    <w:rsid w:val="00986478"/>
    <w:rsid w:val="009B5557"/>
    <w:rsid w:val="009F1067"/>
    <w:rsid w:val="00A31E01"/>
    <w:rsid w:val="00A527AD"/>
    <w:rsid w:val="00A64D21"/>
    <w:rsid w:val="00A718CF"/>
    <w:rsid w:val="00AA069B"/>
    <w:rsid w:val="00AE15D6"/>
    <w:rsid w:val="00AE48A0"/>
    <w:rsid w:val="00AE61BE"/>
    <w:rsid w:val="00AF016A"/>
    <w:rsid w:val="00B16F25"/>
    <w:rsid w:val="00B24422"/>
    <w:rsid w:val="00B66B81"/>
    <w:rsid w:val="00B71E6F"/>
    <w:rsid w:val="00B80C20"/>
    <w:rsid w:val="00B844FE"/>
    <w:rsid w:val="00B86A03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4BBC"/>
    <w:rsid w:val="00CB20EF"/>
    <w:rsid w:val="00CC1F3B"/>
    <w:rsid w:val="00CD12CB"/>
    <w:rsid w:val="00CD36CF"/>
    <w:rsid w:val="00CF1DCA"/>
    <w:rsid w:val="00CF4AAC"/>
    <w:rsid w:val="00D31758"/>
    <w:rsid w:val="00D579FC"/>
    <w:rsid w:val="00D81C16"/>
    <w:rsid w:val="00DE526B"/>
    <w:rsid w:val="00DF199D"/>
    <w:rsid w:val="00E01542"/>
    <w:rsid w:val="00E365F1"/>
    <w:rsid w:val="00E62F48"/>
    <w:rsid w:val="00E831B3"/>
    <w:rsid w:val="00E92E48"/>
    <w:rsid w:val="00E95FBC"/>
    <w:rsid w:val="00EC5E63"/>
    <w:rsid w:val="00EC6BC9"/>
    <w:rsid w:val="00EE3F9A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81E30"/>
  <w15:chartTrackingRefBased/>
  <w15:docId w15:val="{C7E3C3E8-371E-4068-932C-E885DCC4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466687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66687"/>
    <w:rPr>
      <w:rFonts w:ascii="Arial" w:hAnsi="Arial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95C48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95C4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95C4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688765F9324648ACF0E07BF3167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24B1F-77CA-49D9-8D0F-6D3F2014E060}"/>
      </w:docPartPr>
      <w:docPartBody>
        <w:p w:rsidR="00C81678" w:rsidRDefault="00C81678">
          <w:pPr>
            <w:pStyle w:val="ED688765F9324648ACF0E07BF3167FE0"/>
          </w:pPr>
          <w:r w:rsidRPr="00B844FE">
            <w:t>Prefix Text</w:t>
          </w:r>
        </w:p>
      </w:docPartBody>
    </w:docPart>
    <w:docPart>
      <w:docPartPr>
        <w:name w:val="D8DA64AACB2C4FDF829517F732F0E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8311-5597-4C1D-AD43-8C513C04E2A3}"/>
      </w:docPartPr>
      <w:docPartBody>
        <w:p w:rsidR="00C81678" w:rsidRDefault="00C81678">
          <w:pPr>
            <w:pStyle w:val="D8DA64AACB2C4FDF829517F732F0E12E"/>
          </w:pPr>
          <w:r w:rsidRPr="00B844FE">
            <w:t>[Type here]</w:t>
          </w:r>
        </w:p>
      </w:docPartBody>
    </w:docPart>
    <w:docPart>
      <w:docPartPr>
        <w:name w:val="3589CF3E1E764D7AB281C450C176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F5C59-9614-4F81-A9D9-E9762DC0B2ED}"/>
      </w:docPartPr>
      <w:docPartBody>
        <w:p w:rsidR="00C81678" w:rsidRDefault="00C81678">
          <w:pPr>
            <w:pStyle w:val="3589CF3E1E764D7AB281C450C176F067"/>
          </w:pPr>
          <w:r w:rsidRPr="00B844FE">
            <w:t>Number</w:t>
          </w:r>
        </w:p>
      </w:docPartBody>
    </w:docPart>
    <w:docPart>
      <w:docPartPr>
        <w:name w:val="895802CEC6C74197A3695DE4D3385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E777-CA10-48A8-B271-475E83A5417E}"/>
      </w:docPartPr>
      <w:docPartBody>
        <w:p w:rsidR="00C81678" w:rsidRDefault="00C81678">
          <w:pPr>
            <w:pStyle w:val="895802CEC6C74197A3695DE4D3385DA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78"/>
    <w:rsid w:val="001661ED"/>
    <w:rsid w:val="00233C15"/>
    <w:rsid w:val="00331B46"/>
    <w:rsid w:val="00360E9E"/>
    <w:rsid w:val="0048302B"/>
    <w:rsid w:val="004956C1"/>
    <w:rsid w:val="00683D21"/>
    <w:rsid w:val="007C3A0B"/>
    <w:rsid w:val="0089634F"/>
    <w:rsid w:val="00C81678"/>
    <w:rsid w:val="00CF4AAC"/>
    <w:rsid w:val="00D31758"/>
    <w:rsid w:val="00E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688765F9324648ACF0E07BF3167FE0">
    <w:name w:val="ED688765F9324648ACF0E07BF3167FE0"/>
  </w:style>
  <w:style w:type="paragraph" w:customStyle="1" w:styleId="D8DA64AACB2C4FDF829517F732F0E12E">
    <w:name w:val="D8DA64AACB2C4FDF829517F732F0E12E"/>
  </w:style>
  <w:style w:type="paragraph" w:customStyle="1" w:styleId="3589CF3E1E764D7AB281C450C176F067">
    <w:name w:val="3589CF3E1E764D7AB281C450C176F067"/>
  </w:style>
  <w:style w:type="paragraph" w:customStyle="1" w:styleId="895802CEC6C74197A3695DE4D3385DAB">
    <w:name w:val="895802CEC6C74197A3695DE4D3385DA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4</Pages>
  <Words>547</Words>
  <Characters>2849</Characters>
  <Application>Microsoft Office Word</Application>
  <DocSecurity>0</DocSecurity>
  <Lines>54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3</cp:revision>
  <cp:lastPrinted>2026-02-27T19:42:00Z</cp:lastPrinted>
  <dcterms:created xsi:type="dcterms:W3CDTF">2026-02-27T19:42:00Z</dcterms:created>
  <dcterms:modified xsi:type="dcterms:W3CDTF">2026-03-16T17:14:00Z</dcterms:modified>
</cp:coreProperties>
</file>